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和祐医院检验科微生物质谱仪</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2026年5月25日23:59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25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微生物质谱仪1套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25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color w:val="000000"/>
                <w:kern w:val="0"/>
                <w:sz w:val="21"/>
                <w:szCs w:val="21"/>
                <w:lang w:val="en-US" w:eastAsia="zh-CN" w:bidi="ar"/>
              </w:rPr>
              <w:t>功能：</w:t>
            </w:r>
            <w:r>
              <w:rPr>
                <w:rFonts w:hint="eastAsia" w:ascii="宋体" w:hAnsi="宋体" w:eastAsia="宋体"/>
                <w:sz w:val="24"/>
                <w:szCs w:val="24"/>
              </w:rPr>
              <w:t>用于（细菌，丝状真菌，酵母，分枝杆菌等）样品的快速鉴定</w:t>
            </w:r>
          </w:p>
          <w:p w14:paraId="46999BB7">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cs="宋体"/>
                <w:b w:val="0"/>
                <w:bCs w:val="0"/>
                <w:sz w:val="24"/>
                <w:szCs w:val="24"/>
                <w:lang w:val="en-US" w:eastAsia="zh-CN"/>
              </w:rPr>
              <w:t>激光器：固态激光器，波长常为 337nm；频率≥60Hz 且 1~60Hz 连续可调</w:t>
            </w:r>
          </w:p>
          <w:p w14:paraId="1232DA0C">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color w:val="000000"/>
                <w:kern w:val="0"/>
                <w:sz w:val="21"/>
                <w:szCs w:val="21"/>
                <w:lang w:val="en-US" w:eastAsia="zh-CN" w:bidi="ar"/>
              </w:rPr>
              <w:t>飞行管</w:t>
            </w:r>
            <w:r>
              <w:rPr>
                <w:rFonts w:hint="eastAsia" w:ascii="宋体" w:hAnsi="宋体" w:eastAsia="宋体" w:cs="宋体"/>
                <w:color w:val="000000"/>
                <w:kern w:val="0"/>
                <w:sz w:val="21"/>
                <w:szCs w:val="21"/>
                <w:lang w:val="en-US" w:eastAsia="zh-CN" w:bidi="ar"/>
              </w:rPr>
              <w:t>：长度≥1000mm ；钛金属或不锈钢材质</w:t>
            </w:r>
          </w:p>
          <w:p w14:paraId="45F390D8">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ascii="宋体" w:hAnsi="宋体" w:eastAsia="宋体" w:cs="宋体"/>
                <w:sz w:val="24"/>
                <w:szCs w:val="24"/>
              </w:rPr>
              <w:t>离子筛选功能</w:t>
            </w:r>
            <w:r>
              <w:rPr>
                <w:rFonts w:hint="eastAsia" w:cs="宋体"/>
                <w:b w:val="0"/>
                <w:bCs w:val="0"/>
                <w:sz w:val="24"/>
                <w:szCs w:val="24"/>
                <w:lang w:val="en-US" w:eastAsia="zh-CN"/>
              </w:rPr>
              <w:t>：</w:t>
            </w:r>
            <w:r>
              <w:rPr>
                <w:rFonts w:ascii="宋体" w:hAnsi="宋体" w:eastAsia="宋体" w:cs="宋体"/>
                <w:sz w:val="24"/>
                <w:szCs w:val="24"/>
              </w:rPr>
              <w:t>可在1~500kDa分子量范围内精准靶向筛选待测物</w:t>
            </w:r>
          </w:p>
          <w:p w14:paraId="137FE6F7">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ascii="宋体" w:hAnsi="宋体" w:eastAsia="宋体" w:cs="宋体"/>
                <w:sz w:val="24"/>
                <w:szCs w:val="24"/>
              </w:rPr>
              <w:t>核心数据库</w:t>
            </w:r>
            <w:r>
              <w:rPr>
                <w:rFonts w:hint="eastAsia" w:cs="宋体"/>
                <w:bCs/>
                <w:spacing w:val="10"/>
                <w:sz w:val="24"/>
                <w:szCs w:val="24"/>
                <w:lang w:val="en-US" w:eastAsia="zh-CN" w:bidi="zh-CN"/>
              </w:rPr>
              <w:t>：</w:t>
            </w:r>
            <w:r>
              <w:rPr>
                <w:rFonts w:ascii="宋体" w:hAnsi="宋体" w:eastAsia="宋体" w:cs="宋体"/>
                <w:sz w:val="24"/>
                <w:szCs w:val="24"/>
              </w:rPr>
              <w:t>标配本地蛋白指纹图谱数据库：菌种总数≥5100种，覆盖苛氧菌、厌氧菌、分枝杆菌等传统方法难鉴定菌种，包含丝状真菌≥100种</w:t>
            </w:r>
            <w:r>
              <w:rPr>
                <w:rFonts w:hint="eastAsia" w:ascii="宋体" w:hAnsi="宋体" w:eastAsia="宋体" w:cs="宋体"/>
                <w:sz w:val="24"/>
                <w:szCs w:val="24"/>
                <w:lang w:eastAsia="zh-CN"/>
              </w:rPr>
              <w:t>，</w:t>
            </w:r>
            <w:r>
              <w:rPr>
                <w:rFonts w:ascii="宋体" w:hAnsi="宋体" w:eastAsia="宋体" w:cs="宋体"/>
                <w:sz w:val="24"/>
                <w:szCs w:val="24"/>
              </w:rPr>
              <w:t>数据库支持终身免费升级，年度更新≥2次</w:t>
            </w:r>
          </w:p>
          <w:p w14:paraId="1AE02B10">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ascii="宋体" w:hAnsi="宋体" w:eastAsia="宋体" w:cs="宋体"/>
                <w:sz w:val="24"/>
                <w:szCs w:val="24"/>
              </w:rPr>
              <w:t>分辨率</w:t>
            </w:r>
            <w:r>
              <w:rPr>
                <w:rFonts w:hint="eastAsia" w:ascii="宋体" w:hAnsi="宋体" w:eastAsia="宋体" w:cs="宋体"/>
                <w:sz w:val="21"/>
                <w:szCs w:val="21"/>
                <w:lang w:val="en-US" w:eastAsia="zh-CN"/>
              </w:rPr>
              <w:t>：</w:t>
            </w:r>
            <w:r>
              <w:rPr>
                <w:rFonts w:ascii="宋体" w:hAnsi="宋体" w:eastAsia="宋体" w:cs="宋体"/>
                <w:sz w:val="24"/>
                <w:szCs w:val="24"/>
              </w:rPr>
              <w:t>线性模式下≥5000 FWHM</w:t>
            </w:r>
          </w:p>
          <w:p w14:paraId="5DFAA739">
            <w:pPr>
              <w:pStyle w:val="2"/>
              <w:numPr>
                <w:ilvl w:val="0"/>
                <w:numId w:val="1"/>
              </w:numPr>
              <w:ind w:left="0" w:leftChars="0" w:firstLine="0" w:firstLineChars="0"/>
              <w:rPr>
                <w:rFonts w:hint="eastAsia" w:ascii="宋体" w:hAnsi="宋体" w:eastAsia="宋体" w:cs="宋体"/>
                <w:kern w:val="0"/>
                <w:sz w:val="21"/>
                <w:szCs w:val="21"/>
              </w:rPr>
            </w:pPr>
            <w:r>
              <w:rPr>
                <w:rFonts w:ascii="宋体" w:hAnsi="宋体" w:eastAsia="宋体" w:cs="宋体"/>
                <w:sz w:val="24"/>
                <w:szCs w:val="24"/>
              </w:rPr>
              <w:t>灵敏度</w:t>
            </w:r>
            <w:r>
              <w:rPr>
                <w:rFonts w:hint="eastAsia" w:ascii="宋体" w:hAnsi="宋体"/>
                <w:sz w:val="24"/>
                <w:szCs w:val="24"/>
                <w:lang w:val="en-US" w:eastAsia="zh-CN"/>
              </w:rPr>
              <w:t>：</w:t>
            </w:r>
            <w:r>
              <w:rPr>
                <w:rFonts w:ascii="宋体" w:hAnsi="宋体" w:eastAsia="宋体" w:cs="宋体"/>
                <w:sz w:val="24"/>
                <w:szCs w:val="24"/>
              </w:rPr>
              <w:t>1fmol/μL人纤维蛋白肽B（信噪比≥10:1）；100fmol/μL牛血清白蛋白（信噪比≥50:1）</w:t>
            </w:r>
          </w:p>
          <w:p w14:paraId="34D2C9ED">
            <w:pPr>
              <w:pStyle w:val="2"/>
              <w:numPr>
                <w:ilvl w:val="0"/>
                <w:numId w:val="1"/>
              </w:numPr>
              <w:ind w:left="0" w:leftChars="0" w:firstLine="0" w:firstLineChars="0"/>
              <w:rPr>
                <w:rFonts w:hint="eastAsia" w:ascii="宋体" w:hAnsi="宋体" w:eastAsia="宋体" w:cs="宋体"/>
                <w:kern w:val="0"/>
                <w:sz w:val="21"/>
                <w:szCs w:val="21"/>
                <w:lang w:val="en-US" w:eastAsia="zh-CN"/>
              </w:rPr>
            </w:pPr>
            <w:r>
              <w:rPr>
                <w:rFonts w:ascii="宋体" w:hAnsi="宋体" w:eastAsia="宋体" w:cs="宋体"/>
                <w:sz w:val="24"/>
                <w:szCs w:val="24"/>
              </w:rPr>
              <w:t>质量准确度</w:t>
            </w:r>
            <w:r>
              <w:rPr>
                <w:rFonts w:hint="eastAsia" w:ascii="宋体" w:hAnsi="宋体" w:eastAsia="宋体" w:cs="宋体"/>
                <w:sz w:val="24"/>
                <w:szCs w:val="24"/>
                <w:lang w:val="en-US" w:eastAsia="zh-CN"/>
              </w:rPr>
              <w:t>：</w:t>
            </w:r>
            <w:r>
              <w:rPr>
                <w:rFonts w:ascii="宋体" w:hAnsi="宋体" w:eastAsia="宋体" w:cs="宋体"/>
                <w:sz w:val="24"/>
                <w:szCs w:val="24"/>
              </w:rPr>
              <w:t>外校准≤150ppm，内校准≤100ppm</w:t>
            </w:r>
            <w:bookmarkStart w:id="0" w:name="_GoBack"/>
            <w:bookmarkEnd w:id="0"/>
          </w:p>
          <w:p w14:paraId="493B9F64">
            <w:pPr>
              <w:numPr>
                <w:ilvl w:val="0"/>
                <w:numId w:val="0"/>
              </w:numPr>
              <w:spacing w:line="380" w:lineRule="exact"/>
              <w:ind w:leftChars="0"/>
              <w:rPr>
                <w:rFonts w:hint="eastAsia" w:ascii="宋体" w:hAnsi="宋体" w:eastAsia="宋体" w:cs="宋体"/>
                <w:bCs/>
                <w:spacing w:val="10"/>
                <w:sz w:val="24"/>
                <w:szCs w:val="24"/>
                <w:lang w:val="en-US" w:eastAsia="zh-CN" w:bidi="zh-CN"/>
              </w:rPr>
            </w:pPr>
            <w:r>
              <w:rPr>
                <w:rFonts w:hint="eastAsia" w:cs="宋体"/>
                <w:bCs/>
                <w:spacing w:val="10"/>
                <w:sz w:val="24"/>
                <w:szCs w:val="24"/>
                <w:lang w:val="en-US" w:eastAsia="zh-CN" w:bidi="zh-CN"/>
              </w:rPr>
              <w:t>10、</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附件2、和祐医院检验科微生物质谱仪设备调研表</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附件3、和祐医院检验科微生物质谱仪设备招标需求表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8FC0A05"/>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BD96416"/>
    <w:rsid w:val="2C4C5704"/>
    <w:rsid w:val="2C584445"/>
    <w:rsid w:val="2D3466AA"/>
    <w:rsid w:val="2E6770B3"/>
    <w:rsid w:val="343A5858"/>
    <w:rsid w:val="34722DDC"/>
    <w:rsid w:val="34BF7BEB"/>
    <w:rsid w:val="36FB2C80"/>
    <w:rsid w:val="3757544A"/>
    <w:rsid w:val="3A2E433E"/>
    <w:rsid w:val="3FDD2A8F"/>
    <w:rsid w:val="404D077F"/>
    <w:rsid w:val="40A60F1C"/>
    <w:rsid w:val="40F95548"/>
    <w:rsid w:val="415A52D8"/>
    <w:rsid w:val="43C26A41"/>
    <w:rsid w:val="453D0C6F"/>
    <w:rsid w:val="455920AD"/>
    <w:rsid w:val="47E8242C"/>
    <w:rsid w:val="4AE47D61"/>
    <w:rsid w:val="4B1631F6"/>
    <w:rsid w:val="4BD9181C"/>
    <w:rsid w:val="4E916F30"/>
    <w:rsid w:val="4E9B72EC"/>
    <w:rsid w:val="4FBA3327"/>
    <w:rsid w:val="4FD756FD"/>
    <w:rsid w:val="572C29BF"/>
    <w:rsid w:val="5AE44D0E"/>
    <w:rsid w:val="5B146A10"/>
    <w:rsid w:val="5B3A1DC2"/>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BC94A41"/>
    <w:rsid w:val="6D214BCF"/>
    <w:rsid w:val="6F5A3359"/>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qFormat/>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953</Words>
  <Characters>1102</Characters>
  <Lines>12</Lines>
  <Paragraphs>3</Paragraphs>
  <TotalTime>20</TotalTime>
  <ScaleCrop>false</ScaleCrop>
  <LinksUpToDate>false</LinksUpToDate>
  <CharactersWithSpaces>1121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2026-05-19T01:32:30Z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2052-12.1.0.26375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