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A2D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和祐国际医院集团舆情监测及处理服务采购需求（2026）</w:t>
      </w:r>
    </w:p>
    <w:p w14:paraId="167E8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1EF1493"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加强和祐</w:t>
      </w:r>
      <w:r>
        <w:rPr>
          <w:rFonts w:hint="eastAsia" w:ascii="宋体" w:hAnsi="宋体" w:eastAsia="宋体" w:cs="宋体"/>
          <w:sz w:val="24"/>
          <w:szCs w:val="24"/>
        </w:rPr>
        <w:t>品牌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维护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及时发现及处理潜在的舆情危机，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医院拟采购专业的舆情监测、分析、处理及网络信息优化服务。主要采购需求如下：</w:t>
      </w:r>
    </w:p>
    <w:p w14:paraId="431851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</w:rPr>
        <w:t>舆情监测服务（基础服务）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（服务期：一年，需求表细项1、2）</w:t>
      </w:r>
    </w:p>
    <w:p w14:paraId="75A775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日常舆情监测及预警。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利用舆情监测平台，实时监测医院舆情，范围覆盖网站、论坛、短视频、微信、微博、电子报、手机APP、网络问政平台等网络平台，智能监测，及时推送。系统能够7*24小时，全天候监控医院所关注的互联网舆情信息。有负面舆情时能及时预警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采用“系统+人工”双重监测模式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5E89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重点关注：微信视频号短视频监测，需要有自动监测系统，能识别敏感信息。</w:t>
      </w:r>
    </w:p>
    <w:p w14:paraId="395253B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实现对互联网新闻、小视频、论坛、平媒、视频、微博、微信、手机APP等互联网主流媒体覆盖，并实现图片OCR功能，可识别图片、横幅、拍照等资料中出现的文字信息。</w:t>
      </w:r>
    </w:p>
    <w:p w14:paraId="555548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实现对舆情信息、预警信息的综合分析，能够针对数据源、正负面信息、信息走势等进行不同维度、不同时间区间的分析。提供可视化图表展示。</w:t>
      </w:r>
    </w:p>
    <w:p w14:paraId="3FC4BF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支持针对微博信息、网媒信息可以实现溯源分析。溯源信息需包括信息概况、首发、关键传播路径、引爆点、转发时间趋势。</w:t>
      </w:r>
    </w:p>
    <w:p w14:paraId="759286E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宋体" w:hAnsi="宋体" w:eastAsia="宋体"/>
          <w:color w:val="000000"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OCR识别：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智能识别含图片的信息，可对图片信息进行分析处理，并可识别图中的文字信息。</w:t>
      </w:r>
      <w:r>
        <w:rPr>
          <w:rFonts w:hint="eastAsia" w:ascii="宋体" w:hAnsi="宋体" w:eastAsia="宋体" w:cs="宋体"/>
          <w:sz w:val="24"/>
          <w:szCs w:val="24"/>
          <w:lang w:bidi="ar"/>
        </w:rPr>
        <w:t>支持短视频OCR识别，如视频字幕、拍照资料、截图资料、街景文字、横幅等，识别准确率在95% 以上。</w:t>
      </w:r>
    </w:p>
    <w:p w14:paraId="417664B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多模态内容智能监测：</w:t>
      </w:r>
    </w:p>
    <w:p w14:paraId="6DB6D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以图搜图能力：要求支持以特定图片（如医院建筑、标识）在全网进行视觉匹配检索。</w:t>
      </w:r>
    </w:p>
    <w:p w14:paraId="3CFDBB2C">
      <w:pPr>
        <w:spacing w:beforeLines="0" w:afterLines="0"/>
        <w:ind w:firstLine="480" w:firstLineChars="200"/>
        <w:jc w:val="lef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跨模态检索：支持通过关键词（如“和祐医院+拉横幅”）或图片，来搜索相关的视频、图片等多模态内容。</w:t>
      </w:r>
    </w:p>
    <w:p w14:paraId="3FB7A78E"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视频帧分析与抽帧技术：要求系统能对视频进行抽帧，并对关键画面进行识别分析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。</w:t>
      </w:r>
    </w:p>
    <w:p w14:paraId="23692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监控关键词：</w:t>
      </w:r>
      <w:r>
        <w:rPr>
          <w:rFonts w:hint="eastAsia" w:ascii="宋体" w:hAnsi="宋体" w:eastAsia="宋体" w:cs="宋体"/>
          <w:sz w:val="24"/>
          <w:szCs w:val="24"/>
        </w:rPr>
        <w:t>和祐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、和祐医院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、和祐国际医院、和佑国际医院、至臻医院、美和医院 、斐思医美、医院领导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名字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特定名词（包括但不限于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：医疗事故、乱收费、态度差、欠薪等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03EFE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监控范围：</w:t>
      </w:r>
      <w:r>
        <w:rPr>
          <w:rFonts w:hint="eastAsia" w:ascii="宋体" w:hAnsi="宋体" w:eastAsia="宋体" w:cs="宋体"/>
          <w:sz w:val="24"/>
          <w:szCs w:val="24"/>
        </w:rPr>
        <w:t>全网，包括新闻/视频/论坛/social媒体等，含微信、微博、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百度贴吧、知乎、</w:t>
      </w:r>
      <w:r>
        <w:rPr>
          <w:rFonts w:hint="eastAsia" w:ascii="宋体" w:hAnsi="宋体" w:eastAsia="宋体" w:cs="宋体"/>
          <w:sz w:val="24"/>
          <w:szCs w:val="24"/>
        </w:rPr>
        <w:t>抖音、快手、小红书、今日头条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B站、百家号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人民日报、央视网等各大媒体客户端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5E7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人工预警：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7×16小时人工复核与预警，每条预警附简要分析（如：负面性质、可能原因）</w:t>
      </w:r>
    </w:p>
    <w:p w14:paraId="11B4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5、舆情分析：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发生风险事情开展舆情监测的同时，</w:t>
      </w:r>
      <w:r>
        <w:rPr>
          <w:rFonts w:hint="eastAsia" w:ascii="宋体" w:hAnsi="宋体" w:eastAsia="宋体" w:cs="宋体"/>
          <w:sz w:val="24"/>
          <w:szCs w:val="24"/>
        </w:rPr>
        <w:t>对抓取的数据处理/数据分类/筛选/校对/分析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8FE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6、舆情报告：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日报、周报、月报、季报、半年报、年报。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每份报告需包含：正负面新闻摘要、负面处理进展、行业热点参考。</w:t>
      </w:r>
    </w:p>
    <w:p w14:paraId="73ECD4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特定事件舆情监测（需求表细项3）</w:t>
      </w:r>
    </w:p>
    <w:p w14:paraId="2D0AA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1、特定事件舆情监测：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当医院发生有负面舆情风险事件时，针对特别的关键词，启动7（天）*24小时不间断舆情监测。包括根据项目需求提供实时的网络舆情监测、每2小时提交舆情监控报告。</w:t>
      </w:r>
    </w:p>
    <w:p w14:paraId="1B95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2、特定事件舆情报告：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当医院发生有负面舆情风险事件时，提供专门的舆情报告，针对特定事件，提供详细分析及建议。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包含事件发展路径、媒体情绪、公众反应、处置建议。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（按需提供）</w:t>
      </w:r>
    </w:p>
    <w:p w14:paraId="3B732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三、舆情处理服务（框架协议，需求表细项4-16）</w:t>
      </w:r>
    </w:p>
    <w:p w14:paraId="6DDA7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发生舆情事件，协助医院制定危机公关策略。</w:t>
      </w:r>
    </w:p>
    <w:p w14:paraId="6A3D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2、发生舆情事件，协助医院发布相关声明或通告。</w:t>
      </w:r>
    </w:p>
    <w:p w14:paraId="4874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发生舆情事件，提前制作媒体沟通话术、撰写新闻通稿。</w:t>
      </w:r>
    </w:p>
    <w:p w14:paraId="5F06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4、发生舆情事件，撰写医院高层在公关活动的发言稿。</w:t>
      </w:r>
    </w:p>
    <w:p w14:paraId="3C87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5、发生舆情事件，协助进行媒体分级联络/危机媒体一对一沟通，以及进行媒体合作。</w:t>
      </w:r>
    </w:p>
    <w:p w14:paraId="5F8DE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四、网络信息优化（框架协议，需求表细项17-22）</w:t>
      </w:r>
    </w:p>
    <w:p w14:paraId="7B642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搜索引擎优化（SEO）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对百度、搜狗、360等主流搜索引擎，优化医院相关关键词搜索结果。包括：下拉框联想词、相关搜索词、搜索结果页正向内容占比提升。</w:t>
      </w:r>
    </w:p>
    <w:p w14:paraId="2C5C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2、网络评论管理：</w:t>
      </w:r>
    </w:p>
    <w:p w14:paraId="3433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新闻评论维护：在今日头条、一点资讯、垂直媒体等平台，确保新闻评论区前5条为正面或中性内容。</w:t>
      </w:r>
    </w:p>
    <w:p w14:paraId="39AC0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微博评论维护：在影响力较大的微博账号下，以真实用户身份发布正面评论，并点赞至前5位。</w:t>
      </w:r>
    </w:p>
    <w:p w14:paraId="5DB2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评论排序管理：在小红书、抖音、视频号、微博等平台，将核心正面评论推至评论区前10位。</w:t>
      </w:r>
    </w:p>
    <w:p w14:paraId="52165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站外信息维护：对百科词条、图片搜索关键词等进行正向创建、更新与维护。</w:t>
      </w:r>
    </w:p>
    <w:p w14:paraId="5D728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3、网络信息降沉：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对已产生的负面信息，进行“降沉”处理，降低其在搜索结果中的排名或可见度。</w:t>
      </w:r>
    </w:p>
    <w:p w14:paraId="4AB23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五、危机后网络口碑修复策略（框架协议，需求表细项23-24）</w:t>
      </w:r>
    </w:p>
    <w:p w14:paraId="08F2AA80"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针对中小型或大型危机事件后，制定并执行网络口碑修复计划，包括但不限于：正面内容矩阵发布、KOL合作、用户口碑引导等。</w:t>
      </w:r>
    </w:p>
    <w:p w14:paraId="169AB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六、代购代交代垫服务（框架协议，需求表细项25-27）</w:t>
      </w:r>
    </w:p>
    <w:p w14:paraId="5D7A6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包括媒体维护费用、专家邀请、主持人邀请、媒体邀请费用等代购代交代垫。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按实报实销方式执行，服务费率另行约定。</w:t>
      </w:r>
    </w:p>
    <w:p w14:paraId="3B876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</w:rPr>
        <w:t>舆情培训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</w:rPr>
        <w:t>舆情处置演练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框架协议，需求表细项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val="en-US" w:eastAsia="zh-CN"/>
        </w:rPr>
        <w:t>28-29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yellow"/>
          <w:lang w:eastAsia="zh-CN"/>
        </w:rPr>
        <w:t>）</w:t>
      </w:r>
    </w:p>
    <w:p w14:paraId="0C49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每年提供1次专家级舆情培训（线下或线上）</w:t>
      </w:r>
    </w:p>
    <w:p w14:paraId="2B0F3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每年组织1次舆情处置实战演练（含模拟危机事件）</w:t>
      </w:r>
    </w:p>
    <w:p w14:paraId="0DB0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4BE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BF0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5DB9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943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C1F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EAC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D114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D31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871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3A3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7"/>
        <w:tblpPr w:leftFromText="180" w:rightFromText="180" w:vertAnchor="text" w:horzAnchor="page" w:tblpX="448" w:tblpY="595"/>
        <w:tblOverlap w:val="never"/>
        <w:tblW w:w="620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051"/>
        <w:gridCol w:w="1164"/>
        <w:gridCol w:w="3019"/>
        <w:gridCol w:w="1322"/>
        <w:gridCol w:w="976"/>
        <w:gridCol w:w="879"/>
        <w:gridCol w:w="1535"/>
      </w:tblGrid>
      <w:tr w14:paraId="3DA1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noWrap/>
            <w:vAlign w:val="center"/>
          </w:tcPr>
          <w:p w14:paraId="251D89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noWrap/>
            <w:vAlign w:val="center"/>
          </w:tcPr>
          <w:p w14:paraId="2B2B6B9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分类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noWrap/>
            <w:vAlign w:val="center"/>
          </w:tcPr>
          <w:p w14:paraId="7C14B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内容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noWrap/>
            <w:vAlign w:val="center"/>
          </w:tcPr>
          <w:p w14:paraId="69BE89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noWrap/>
            <w:vAlign w:val="center"/>
          </w:tcPr>
          <w:p w14:paraId="730230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不含税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noWrap/>
            <w:vAlign w:val="center"/>
          </w:tcPr>
          <w:p w14:paraId="1523E3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noWrap/>
            <w:vAlign w:val="center"/>
          </w:tcPr>
          <w:p w14:paraId="510B57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税率%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noWrap/>
            <w:vAlign w:val="center"/>
          </w:tcPr>
          <w:p w14:paraId="3059B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597B0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D3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B2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日常舆情监测及预警</w:t>
            </w:r>
          </w:p>
          <w:p w14:paraId="7AA78BF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D76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highlight w:val="yellow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日常舆情监测及预警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  <w:lang w:val="en-US" w:eastAsia="zh-CN" w:bidi="ar"/>
              </w:rPr>
              <w:t>视频、音频抽帧识别，支持方言如粤语等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  <w:lang w:eastAsia="zh-CN" w:bidi="ar"/>
              </w:rPr>
              <w:t>）</w:t>
            </w:r>
          </w:p>
          <w:p w14:paraId="308D20A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DB1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、利用舆情监测平台，实时监测医院舆情，范围覆盖网站、论坛、短视频、微信、微博、电子报、手机APP、网络问政平台等网络平台，智能监测，及时推送。系统能够7*24小时，全天候监控医院所关注的互联网舆情信息。有负面舆情时能及时预警。采用“系统+人工”双重监测模式。微信视频号短视频监测，需要有自动监测系统，能识别敏感信息。</w:t>
            </w:r>
          </w:p>
          <w:p w14:paraId="0C02DC5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(1)实现对互联网新闻、小视频、论坛、平媒、视频、微博、微信、手机APP等互联网主流媒体覆盖，并实现图片OCR功能，可识别图片、横幅、拍照等资料中出现的文字信息。</w:t>
            </w:r>
          </w:p>
          <w:p w14:paraId="2692609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(2)实现对舆情信息、预警信息的综合分析，能够针对数据源、正负面信息、信息走势等进行不同维度、不同时间区间的分析。提供可视化图表展示。</w:t>
            </w:r>
          </w:p>
          <w:p w14:paraId="23C9ADD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(3)支持针对微博信息、网媒信息可以实现溯源分析。溯源信息需包括信息概况、首发、关键传播路径、引爆点、转发时间趋势。</w:t>
            </w:r>
          </w:p>
          <w:p w14:paraId="76C82BD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(4)OCR识别：智能识别含图片的信息，可对图片信息进行分析处理，并可识别图中的文字信息。支持短视频OCR识别，如视频字幕、拍照资料、截图资料、街景文字、横幅等，识别准确率在95% 以上。</w:t>
            </w:r>
          </w:p>
          <w:p w14:paraId="5EF23A4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(5)多模态内容智能监测：</w:t>
            </w:r>
          </w:p>
          <w:p w14:paraId="1DA729D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以图搜图能力：要求支持以特定图片（如医院建筑、标识）在全网进行视觉匹配检索。</w:t>
            </w:r>
          </w:p>
          <w:p w14:paraId="3F912CB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跨模态检索：支持通过关键词（如“和祐医院+拉横幅”）或图片，来搜索相关的视频、图片等多模态内容。</w:t>
            </w:r>
          </w:p>
          <w:p w14:paraId="19516A04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视频帧分析与抽帧技术：要求系统能对视频进行抽帧，并对关键画面进行识别分析。</w:t>
            </w:r>
          </w:p>
          <w:p w14:paraId="5EEE73F2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 w14:paraId="7940AB29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 w14:paraId="7E5EEED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2、监控关键词：和祐（和佑）、和祐医院（和佑医院）、和祐国际医院、和佑国际医院、至臻医院、美和医院 、斐思医美、医院领导（专家）名字、特定名词（包括但不限于：医疗事故、乱收费、态度差、欠薪等）</w:t>
            </w:r>
          </w:p>
          <w:p w14:paraId="22F7F7C9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3、监控范围：全网，包括新闻/视频/论坛/social媒体等，含微信、微博、百度贴吧、知乎、抖音、快手、小红书、今日头条、B站、百家号等，人民日报、央视网等各大媒体客户端。</w:t>
            </w:r>
          </w:p>
          <w:p w14:paraId="208DA26D"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4、人工预警：7×16小时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服务时段：【 8：00-24：00  】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人工复核与预警，每条预警附简要分析（如：负面性质、可能原因）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乙方应当在舆情发生后1小时内向甲方发出播报预警。</w:t>
            </w:r>
          </w:p>
          <w:p w14:paraId="3A35F67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5、舆情分析：发生风险事情开展舆情监测的同时，对抓取的数据处理/数据分类/筛选/校对/分析。</w:t>
            </w:r>
          </w:p>
          <w:p w14:paraId="29257E3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以上监测及预警等服务不限次数，乙方应当按甲方要求定期出具舆情监测报告。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082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D93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  <w:t>年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FD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4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F7F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273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2CC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日常舆情报告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B83B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每日舆情日报：所有报告（包括日报、月报、季度报、半年度报、年度报、临时性报告等）均需包括正负面新闻、新闻健康度、负面处理情况、同行信息等信息，甲方有权要求乙方增加或调整报告内容；日报频率为每日1份。</w:t>
            </w:r>
          </w:p>
          <w:p w14:paraId="31ECDC29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每月舆情报告，12份/年；</w:t>
            </w:r>
          </w:p>
          <w:p w14:paraId="52528BA3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每季度舆情报告，4份/年；</w:t>
            </w:r>
          </w:p>
          <w:p w14:paraId="36CECCAC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半年度舆情报告，1份/年；</w:t>
            </w:r>
          </w:p>
          <w:p w14:paraId="6EFAD44F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年度舆情报告，1份/年；</w:t>
            </w:r>
          </w:p>
          <w:p w14:paraId="685DB688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日常临时性简报，根据实际需求、不限数量。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EC7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136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年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B55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2B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763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C65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6D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舆情报告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1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特定事件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舆情报告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F5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1、特定事件舆情监测：当医院发生有负面舆情风险事件时，针对特别的关键词，启动7（天）*24小时不间断舆情监测。包括根据项目需求提供实时的网络舆情监测、每2小时提交舆情监控报告。</w:t>
            </w:r>
          </w:p>
          <w:p w14:paraId="192F28F7"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2、特定事件舆情报告：当医院发生有负面舆情风险事件时，提供专门的舆情报告，针对特定事件，提供详细分析及建议。（按需提供）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23BD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821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D9F7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C5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C71E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DC8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804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舆情处理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策略建议</w:t>
            </w:r>
          </w:p>
          <w:p w14:paraId="07FEE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0544">
            <w:pPr>
              <w:jc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</w:rPr>
              <w:t>危机公关策略（小型）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E86B">
            <w:pPr>
              <w:widowControl/>
              <w:jc w:val="left"/>
              <w:textAlignment w:val="center"/>
              <w:rPr>
                <w:rFonts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针对舆情数据量级小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eastAsia="zh-CN" w:bidi="ar"/>
              </w:rPr>
              <w:t>（阅读量在1万以下）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/媒体量级（市级媒体跟进）/网络情绪较为稳定</w:t>
            </w:r>
          </w:p>
          <w:p w14:paraId="222443A4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24小时响应，制定特定应对策略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129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93E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A41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936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提供方案</w:t>
            </w:r>
          </w:p>
        </w:tc>
      </w:tr>
      <w:tr w14:paraId="4C9C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40A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7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A95A">
            <w:pPr>
              <w:jc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</w:rPr>
              <w:t>危机公关策略（中型）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FC3D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针对舆情数据量级大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eastAsia="zh-CN" w:bidi="ar"/>
              </w:rPr>
              <w:t>（阅读量在1万-10万）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/省市及媒体跟进报道，网络有热搜迹象,24小时响应，制定特定应对策略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8E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812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A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E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提供方案</w:t>
            </w:r>
          </w:p>
        </w:tc>
      </w:tr>
      <w:tr w14:paraId="7157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C0D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CD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7714">
            <w:pPr>
              <w:jc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</w:rPr>
              <w:t>危机公关策略（大型）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F05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针对舆情数据量级巨大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  <w:t>阅读量在10万以上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/央省市级媒体跟进报道，有形成社会热点迹象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  <w:t>或已成热搜</w:t>
            </w:r>
          </w:p>
          <w:p w14:paraId="474B39A2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24小时响应，制定特定应对策略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8EF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082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trike w:val="0"/>
                <w:dstrike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BA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C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提供方案</w:t>
            </w:r>
          </w:p>
        </w:tc>
      </w:tr>
      <w:tr w14:paraId="5762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F23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C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E3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声明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通告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1A21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外部声明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或通告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，1000字以内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F4E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DE2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05D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7CF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提供word文档</w:t>
            </w:r>
          </w:p>
        </w:tc>
      </w:tr>
      <w:tr w14:paraId="7729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1A6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32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4930"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官方声明策略（中小型危机）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72A1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阅读量在10万以内的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特定事件，分析预判事件对象，参与制定官方声明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01E3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9DD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0A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8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提供方案</w:t>
            </w:r>
          </w:p>
        </w:tc>
      </w:tr>
      <w:tr w14:paraId="5493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716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F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DD89"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官方声明策略（大型危机）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296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阅读量在10万以上的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特定事件，分析预判事件对象，参与制定官方声明，GR、法务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A33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5CE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D1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提供方案</w:t>
            </w:r>
          </w:p>
        </w:tc>
      </w:tr>
      <w:tr w14:paraId="4D5B6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1F0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0B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8501"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媒体话术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32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针对特定事件，拟定前置媒体Q&amp;A应对话术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乙方委派的服务人员应了解媒体运作机制，熟悉各类媒体的特点和风格，根据舆情实际拟定媒体话术，话术应清晰、准确地表达甲方立场和观点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4607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38D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9A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5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模拟问题*5，模拟回答*5.超出部分按比例收费；</w:t>
            </w:r>
          </w:p>
        </w:tc>
      </w:tr>
      <w:tr w14:paraId="08602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52B0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3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9BF5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媒体通稿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撰写、不含媒体发布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32F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针对特定事件，和官方声明话术，写作引导/逆转舆情各角度通稿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73E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19F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A8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6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3541F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007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5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705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高层发言稿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F5C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公司高层管理人员在公关活动上的发言稿，约600～1000字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3967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F20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A7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C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7FD79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B41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AB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2F5B"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媒体分级沟通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14E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针对特定事件，制定媒体分级联络/危机媒体一对一沟通（含自媒体大V）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1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所有费用应当提前报甲方同意后方可实施，乙方按其报批并经甲方同意的费用*%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收取服务费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681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540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BD2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按需</w:t>
            </w:r>
          </w:p>
        </w:tc>
      </w:tr>
      <w:tr w14:paraId="3081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B84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0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58E9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媒体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活动策划服务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CC3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含餐费、酒水费、相关娱乐费、车马费等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19C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所有费用应当提前报甲方同意后方可实施，乙方按其报批并经甲方同意的费用*%收取服务费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36E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1A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D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04D2F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464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70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EEFD"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差旅费用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4D2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针对特定事件、特定媒体需及时线下沟通产生相关差旅住宿费用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676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所有费用提前经甲方同意后方可实施，在不超过甲方差旅费报销标准的情况下根据乙方实际发生费用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实报实销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942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AD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03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06DA1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FCC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F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1962"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媒体投放合作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EB9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针对特定事件，特定时间段，特定媒体（含自媒体大V）干预性投放合作。并全程参与谈判，提供、参与制定引导性报道文本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BF8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所有费用应当提前报甲方同意后方可实施，乙方按其报批并经甲方同意的费用*%收取服务费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800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7A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34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437E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D48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EE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网络评论维护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33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新闻评论管理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0B8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针对今日头条、一点资讯、垂直媒体的文章，以及部分社区等，进行专项维护，以确保当日新闻评论正面信息露出度，评论维护，此为每条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新闻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维护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价格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F74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1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B54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6D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偏离度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】</w:t>
            </w:r>
          </w:p>
          <w:p w14:paraId="1878E3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报价为每篇新闻维护费用，若评论不足20，则保证前50%为正中性；</w:t>
            </w:r>
          </w:p>
          <w:p w14:paraId="6C6A3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若评论超过20条，则保评论区前20位为正中性；</w:t>
            </w:r>
          </w:p>
          <w:p w14:paraId="1B1D38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 w14:paraId="3E78EE5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维护周期为一年，如果维护期内有反弹，实施处理以实现效果保证。</w:t>
            </w:r>
          </w:p>
          <w:p w14:paraId="25D041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总互动数据量1000，按1篇计费。</w:t>
            </w:r>
          </w:p>
          <w:p w14:paraId="12104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总互动数据量1000-5000，按3篇计费。</w:t>
            </w:r>
          </w:p>
          <w:p w14:paraId="2AA3E6C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总互动数据量为5000-10000：按5篇计费；</w:t>
            </w:r>
          </w:p>
          <w:p w14:paraId="6C0F2963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总互动数据量超过10000的，将按照实际情况提前沟通计数数量，根据评论量和评论区前端的负面占比情况，按照6-30条内容评论优化的单价预估优化费用，计数范围（6-30条），即费用费用计量在1800-9000之间；。</w:t>
            </w:r>
          </w:p>
        </w:tc>
      </w:tr>
      <w:tr w14:paraId="35D1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F93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E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DB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评论排序管理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0A0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包括小红书、抖音、视频号、微博等平台，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以特定单篇文章信息为单位，将重要信息，以评论或点赞的方式，将核心正面评论放在评论区的前10位置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3EB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5A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D0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B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偏离度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】</w:t>
            </w:r>
          </w:p>
          <w:p w14:paraId="08450B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报价为每篇文章维护费用，若评论不足20，则保证前50%为正中性；若评论超过20条，则保评论区前20位为正中性；</w:t>
            </w:r>
          </w:p>
          <w:p w14:paraId="01C2775C"/>
          <w:p w14:paraId="301CDE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*总互动数据量1000，按1篇计费。</w:t>
            </w:r>
          </w:p>
          <w:p w14:paraId="6B0E4A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总互动数据量1000-5000，按3篇计费。</w:t>
            </w:r>
          </w:p>
          <w:p w14:paraId="0727C603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总互动数据量为5000-10000：按5篇计费；</w:t>
            </w:r>
          </w:p>
          <w:p w14:paraId="100C26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总互动数据量超过10000的，将按照实际情况提前沟通计数数量，根据评论量和评论区前端的负面占比情况，按照6-30条内容评论优化的单价预估优化费用，计数范围（6-30条），即费用费用计量在1800-9000之间；</w:t>
            </w:r>
          </w:p>
          <w:p w14:paraId="0C2A9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【维护周期】</w:t>
            </w:r>
          </w:p>
          <w:p w14:paraId="4F3B6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一年，如果维护期内有反弹，实施处理以实现效果保证。</w:t>
            </w:r>
          </w:p>
        </w:tc>
      </w:tr>
      <w:tr w14:paraId="3604B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6B6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A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534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舆情优化处理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890B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小红书、抖音、知乎、微博、今日头条等平台评论内容优化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39E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E01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A3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E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AEC7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82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81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站外信息维护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D13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针对下拉框联想词/相关搜索词等信息进行优化，最大程度维护正向内容；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8F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6F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条/词/篇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BC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2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负责平台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】</w:t>
            </w:r>
          </w:p>
          <w:p w14:paraId="7F6BE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百度、今日头条、小红书、知乎、抖音、有驾、微博、微信</w:t>
            </w:r>
          </w:p>
          <w:p w14:paraId="37931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【维护程度】</w:t>
            </w:r>
          </w:p>
          <w:p w14:paraId="4A25E16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重点信息词条降沉出前10位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维护周期为一年，如果维护期内有反弹，实施处理以实现效果保证。</w:t>
            </w:r>
          </w:p>
          <w:p w14:paraId="4ECC4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697C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306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4A6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E46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1A1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针对图片及图片关键词进行正向优化/更新/维护；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E1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AA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张/词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5C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1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负责平台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】</w:t>
            </w:r>
          </w:p>
          <w:p w14:paraId="027F8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百度、今日头条、小红书、知乎、抖音、有驾、微博、微信</w:t>
            </w:r>
          </w:p>
          <w:p w14:paraId="61E95E2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【维护程度】</w:t>
            </w:r>
          </w:p>
          <w:p w14:paraId="62FC2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图片以及图片关键词更新程度达商议内容的85%</w:t>
            </w:r>
          </w:p>
          <w:p w14:paraId="5DC5DAEA"/>
          <w:p w14:paraId="588257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【维护周期】</w:t>
            </w:r>
          </w:p>
          <w:p w14:paraId="2D280B4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一年，如果维护期内有反弹，实施处理以实现效果保证。</w:t>
            </w:r>
          </w:p>
          <w:p w14:paraId="5C6FE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076C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2A37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F8E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FE64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C2E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站外检索的百科/词条创建、维护及更新，含撰写、发布等相关费用；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A7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B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AA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1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平台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】</w:t>
            </w:r>
          </w:p>
          <w:p w14:paraId="16992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百度百科、搜狗百科、抖音百科</w:t>
            </w:r>
          </w:p>
          <w:p w14:paraId="381AE3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  <w:p w14:paraId="1AE63F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词条创建成功才收费，若是更新需求，则提交完成最终商议更新内容的85%以上及视为优化完成</w:t>
            </w:r>
          </w:p>
        </w:tc>
      </w:tr>
      <w:tr w14:paraId="32D5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8443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77E9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危机后网络口碑修复策略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FE8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危机后网络口碑修复策略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中小型危机后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0B1D">
            <w:pPr>
              <w:spacing w:beforeLines="0" w:afterLine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中小型危机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事件后，和网络遗留顽固舆情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状态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，制定相关后续口碑修复计划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包括但不限于：正面内容矩阵发布、KOL合作、用户口碑引导等。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E2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97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2C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164D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提供方案</w:t>
            </w:r>
          </w:p>
        </w:tc>
      </w:tr>
      <w:tr w14:paraId="7FB2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239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E00B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D5FC"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危机后网络口碑修复策略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大型危机后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F763">
            <w:pPr>
              <w:spacing w:beforeLines="0" w:afterLine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针对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大型危机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事件后，和网络遗留顽固舆情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状态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，制定相关后续口碑修复计划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包括但不限于：正面内容矩阵发布、KOL合作、用户口碑引导等。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2E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4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B6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B5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提供方案</w:t>
            </w:r>
          </w:p>
        </w:tc>
      </w:tr>
      <w:tr w14:paraId="46363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7D2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7B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代购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lang w:bidi="ar"/>
              </w:rPr>
              <w:t>代交代垫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8B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代购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lang w:bidi="ar"/>
              </w:rPr>
              <w:t>代交代垫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106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媒体维护费用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058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实报实销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3C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费率%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89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1D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2383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177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7944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05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B6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专家邀请、主持人邀请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媒体邀请费用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C3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实际费用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81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费率%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0B0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63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6C35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B6F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9607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816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DB3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甲方供应商垫付费用服务费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26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实际费用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36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费率%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CFDF"/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51E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67799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F2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9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15F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C03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舆情培训及舆情处置演练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A0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每年提供1次专家级舆情培训（线下或线上）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E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5CA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2D19">
            <w:pPr>
              <w:jc w:val="center"/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75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BDA1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5EC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9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685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668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舆情培训及舆情处置演练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182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每年组织1次舆情处置实战演练（含模拟危机事件）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38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D40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E132">
            <w:pPr>
              <w:jc w:val="center"/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B3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</w:tbl>
    <w:p w14:paraId="38225899">
      <w:pPr>
        <w:numPr>
          <w:ilvl w:val="0"/>
          <w:numId w:val="0"/>
        </w:numPr>
        <w:rPr>
          <w:rFonts w:hint="eastAsia" w:ascii="宋体" w:hAnsi="宋体"/>
          <w:color w:val="auto"/>
          <w:sz w:val="21"/>
          <w:szCs w:val="21"/>
          <w:lang w:val="en-US" w:eastAsia="zh-CN"/>
        </w:rPr>
      </w:pPr>
    </w:p>
    <w:p w14:paraId="5DBA7BFD">
      <w:pPr>
        <w:numPr>
          <w:ilvl w:val="0"/>
          <w:numId w:val="5"/>
        </w:numPr>
        <w:rPr>
          <w:rFonts w:hint="eastAsia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专项服务报价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450" w:tblpY="590"/>
        <w:tblOverlap w:val="never"/>
        <w:tblW w:w="603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11"/>
        <w:gridCol w:w="890"/>
        <w:gridCol w:w="987"/>
        <w:gridCol w:w="2783"/>
        <w:gridCol w:w="1009"/>
        <w:gridCol w:w="1218"/>
        <w:gridCol w:w="638"/>
        <w:gridCol w:w="1161"/>
      </w:tblGrid>
      <w:tr w14:paraId="773B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307F91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4FEB180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类型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4136A554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平台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672E0A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端口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7758F2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390D8F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不含税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7AB14C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5975D5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税率%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 w:themeFill="accent6" w:themeFillTint="66"/>
            <w:vAlign w:val="center"/>
          </w:tcPr>
          <w:p w14:paraId="01D94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6BF8B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723"/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E4A7"/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CA4E"/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F5B7"/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7F51"/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2757"/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B51B"/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6277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099"/>
        </w:tc>
      </w:tr>
      <w:tr w14:paraId="7565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8B86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D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舆情优化处理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1AA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百度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6E8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APP/PC/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移动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1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首10位100%正面率，前30位95%相关正面内容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D64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C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词/月/端/板块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E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F2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含优化所需的内容产出，以及平台发布，模拟互动等服务，但最终以优化成果结算</w:t>
            </w:r>
          </w:p>
        </w:tc>
      </w:tr>
      <w:tr w14:paraId="40A5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B11D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A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舆情优化处理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A9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今日头条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C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APP/PC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7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首10位100%正面率，前30位90%相关正面内容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2D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38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词/月/端/板块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42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D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86C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EDD5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2F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舆情优化处理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57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小红书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C8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APP/PC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DD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首10位100%正面率，前30位90%相关正面内容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E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0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词/月/端/板块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859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1F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81A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1274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47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舆情优化处理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3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有驾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A0A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APP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616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首10位100%正面率，前30位95%相关正面内容         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3A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16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词/月/端/板块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980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A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101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461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EF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舆情优化处理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300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抖音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56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APP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C4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前10条100%正面率，前30条正面率90%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DF0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C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词/月/端/板块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719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19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D0F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8D6B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46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舆情优化处理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1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微博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1A90"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APP</w:t>
            </w:r>
          </w:p>
          <w:p w14:paraId="2138426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665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前20条100%正面率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CEB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A37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词/月/端/板块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2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8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9AC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B850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舆情优化处理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2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微信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8F5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APP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39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前20条100%正面率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1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14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词/月/端/板块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04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B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09BD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D882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正面信息环境占位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小红书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B39">
            <w:pPr>
              <w:widowControl/>
              <w:jc w:val="both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板块不限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A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排名口碑正面信息环境占位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41D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6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关键词/月/板块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701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A91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搜xx关键词，使得指定正面信息出现前端；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平台调性使得小红书展示千人千面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化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，不同ID、IP根据浏览习惯和标签不同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，因此报价也受此影响</w:t>
            </w:r>
          </w:p>
        </w:tc>
      </w:tr>
      <w:tr w14:paraId="4B754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E90C"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6D2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稿件沟通服务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FDD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百度/微信/今日头条/抖音/小红书/知乎百家号/有驾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EA9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B0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针对重点内容协助品牌进行稿件沟通服务费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B67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7EE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条/次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C22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C8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22C8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7888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C020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80E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247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61DF8BB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  <w:shd w:val="clear" w:fill="FFFFFF"/>
        </w:rPr>
        <w:t>评分标准</w:t>
      </w:r>
    </w:p>
    <w:p w14:paraId="161FA370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总分：100分</w:t>
      </w:r>
    </w:p>
    <w:tbl>
      <w:tblPr>
        <w:tblStyle w:val="7"/>
        <w:tblW w:w="9600" w:type="dxa"/>
        <w:tblInd w:w="-5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4"/>
        <w:gridCol w:w="1296"/>
        <w:gridCol w:w="2490"/>
        <w:gridCol w:w="3540"/>
      </w:tblGrid>
      <w:tr w14:paraId="128A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74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C2AFC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一级指标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855CC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权重</w:t>
            </w:r>
          </w:p>
        </w:tc>
        <w:tc>
          <w:tcPr>
            <w:tcW w:w="249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A0E5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</w:tc>
        <w:tc>
          <w:tcPr>
            <w:tcW w:w="354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02CF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评分说明</w:t>
            </w:r>
          </w:p>
        </w:tc>
      </w:tr>
      <w:tr w14:paraId="4211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29A30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一、服务内容与质量</w:t>
            </w: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1A8B8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40分</w:t>
            </w: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2517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舆情监测能力（12分）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73020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覆盖渠道、OCR、预警准确性</w:t>
            </w:r>
          </w:p>
        </w:tc>
      </w:tr>
      <w:tr w14:paraId="7E78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4C0B5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2BEA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56BFC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危机预警机制（8分）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31746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系统+人工，响应速度，预警分析深度</w:t>
            </w:r>
          </w:p>
        </w:tc>
      </w:tr>
      <w:tr w14:paraId="203D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236F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687E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1A5E0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应对策略制定（10分）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8EEAB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策略是否具体、可执行、分级清晰</w:t>
            </w:r>
          </w:p>
        </w:tc>
      </w:tr>
      <w:tr w14:paraId="067E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70AC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B1FC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7A972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网络信息优化能力（10分）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ACB14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SEO、评论管理、降沉、口碑修复经验与方案</w:t>
            </w:r>
          </w:p>
        </w:tc>
      </w:tr>
      <w:tr w14:paraId="2B36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C263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二、团队实力与经验</w:t>
            </w: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E4EF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E93E6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团队规模与结构（5分）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6DDE6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是否含舆情分析师、危机专家、SEO专员</w:t>
            </w:r>
          </w:p>
        </w:tc>
      </w:tr>
      <w:tr w14:paraId="0E1A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9A6D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0EE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767A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经验与专业能力（10分）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13AB5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过往案例、行业经验、培训能力</w:t>
            </w:r>
          </w:p>
        </w:tc>
      </w:tr>
      <w:tr w14:paraId="47CA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60C9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3A2D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8247A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项目执行经验（5分）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E47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是否服务过医疗/大型集团客户</w:t>
            </w:r>
          </w:p>
        </w:tc>
      </w:tr>
      <w:tr w14:paraId="5CE2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2614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三、服务保障与支持</w:t>
            </w: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D7F48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46CEE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服务响应时间（5分）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5FC83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日常响应≤1小时，危机响应≤0.5小时</w:t>
            </w:r>
          </w:p>
        </w:tc>
      </w:tr>
      <w:tr w14:paraId="0194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1925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3B79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692D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报告与反馈机制（5分）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0BA1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报告周期、内容质量、改进建议</w:t>
            </w:r>
          </w:p>
        </w:tc>
      </w:tr>
      <w:tr w14:paraId="5826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D2F4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B5D3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31851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售后支持与培训（10分）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BD90B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系统培训、演练支持、技术维护</w:t>
            </w:r>
          </w:p>
        </w:tc>
      </w:tr>
      <w:tr w14:paraId="6012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B8A3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四、价格与成本效益</w:t>
            </w: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ECE08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17C15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报价合理性（10分）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C7F16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是否清晰、透明、符合市场</w:t>
            </w:r>
          </w:p>
        </w:tc>
      </w:tr>
      <w:tr w14:paraId="2BC2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7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BF87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B95C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FB95B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成本效益（10分）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B60B4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服务内容/价格比，是否提供增值服务</w:t>
            </w:r>
          </w:p>
        </w:tc>
      </w:tr>
    </w:tbl>
    <w:p w14:paraId="575C3C9A">
      <w:pPr>
        <w:pStyle w:val="9"/>
        <w:tabs>
          <w:tab w:val="left" w:pos="6670"/>
        </w:tabs>
        <w:spacing w:line="360" w:lineRule="auto"/>
        <w:jc w:val="both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F4A872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8F71B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1EB82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43E17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AB75BD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57E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9DD4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9DD4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676B5"/>
    <w:multiLevelType w:val="singleLevel"/>
    <w:tmpl w:val="AC5676B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AD5A4D"/>
    <w:multiLevelType w:val="singleLevel"/>
    <w:tmpl w:val="CFAD5A4D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D9A05B77"/>
    <w:multiLevelType w:val="singleLevel"/>
    <w:tmpl w:val="D9A05B7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EF876D01"/>
    <w:multiLevelType w:val="singleLevel"/>
    <w:tmpl w:val="EF876D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4C256CB"/>
    <w:multiLevelType w:val="singleLevel"/>
    <w:tmpl w:val="F4C256C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17993B4"/>
    <w:multiLevelType w:val="singleLevel"/>
    <w:tmpl w:val="217993B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Y2FlZjIxZTVjY2YzZWM2ZTBlYjI0MDg1NGYyZjIifQ=="/>
  </w:docVars>
  <w:rsids>
    <w:rsidRoot w:val="00172A27"/>
    <w:rsid w:val="001669D4"/>
    <w:rsid w:val="016476B6"/>
    <w:rsid w:val="0242796A"/>
    <w:rsid w:val="054858CE"/>
    <w:rsid w:val="065B15E4"/>
    <w:rsid w:val="06B47C7B"/>
    <w:rsid w:val="0A372B5B"/>
    <w:rsid w:val="0B761EF4"/>
    <w:rsid w:val="0BD6228B"/>
    <w:rsid w:val="0DD759F4"/>
    <w:rsid w:val="0E3E5A73"/>
    <w:rsid w:val="0ECB1623"/>
    <w:rsid w:val="102929B8"/>
    <w:rsid w:val="1074577C"/>
    <w:rsid w:val="144C629F"/>
    <w:rsid w:val="15F31BF6"/>
    <w:rsid w:val="17B51DF3"/>
    <w:rsid w:val="17DD00AB"/>
    <w:rsid w:val="184E0FA9"/>
    <w:rsid w:val="187437A5"/>
    <w:rsid w:val="19D03B63"/>
    <w:rsid w:val="1ACC1B06"/>
    <w:rsid w:val="1BC17CE4"/>
    <w:rsid w:val="1C2F2E9F"/>
    <w:rsid w:val="1D9A07EC"/>
    <w:rsid w:val="1E351E43"/>
    <w:rsid w:val="209B7C66"/>
    <w:rsid w:val="2208239B"/>
    <w:rsid w:val="225E3500"/>
    <w:rsid w:val="227D15BA"/>
    <w:rsid w:val="23096C36"/>
    <w:rsid w:val="233401B4"/>
    <w:rsid w:val="24BC11F7"/>
    <w:rsid w:val="250824DF"/>
    <w:rsid w:val="25F969F8"/>
    <w:rsid w:val="264D5E58"/>
    <w:rsid w:val="26925700"/>
    <w:rsid w:val="2867117F"/>
    <w:rsid w:val="28810F26"/>
    <w:rsid w:val="2A6D6566"/>
    <w:rsid w:val="2CDC2D3C"/>
    <w:rsid w:val="2D8D285B"/>
    <w:rsid w:val="2DC55411"/>
    <w:rsid w:val="2E114B57"/>
    <w:rsid w:val="2E69227F"/>
    <w:rsid w:val="2F6120DB"/>
    <w:rsid w:val="30B4479E"/>
    <w:rsid w:val="3239017C"/>
    <w:rsid w:val="3543357C"/>
    <w:rsid w:val="37093F36"/>
    <w:rsid w:val="37500442"/>
    <w:rsid w:val="37A7456D"/>
    <w:rsid w:val="37F36CAC"/>
    <w:rsid w:val="39ED01CA"/>
    <w:rsid w:val="3A0472C2"/>
    <w:rsid w:val="3A3E4582"/>
    <w:rsid w:val="3B143534"/>
    <w:rsid w:val="3BAF3DF0"/>
    <w:rsid w:val="3D303C2C"/>
    <w:rsid w:val="3F0A537A"/>
    <w:rsid w:val="3F973582"/>
    <w:rsid w:val="3F987B1A"/>
    <w:rsid w:val="3FE61943"/>
    <w:rsid w:val="40434747"/>
    <w:rsid w:val="41872C53"/>
    <w:rsid w:val="41BD03B4"/>
    <w:rsid w:val="436A1A54"/>
    <w:rsid w:val="45A11C28"/>
    <w:rsid w:val="46CD00CF"/>
    <w:rsid w:val="47700AE1"/>
    <w:rsid w:val="47C612D3"/>
    <w:rsid w:val="47CE1FDE"/>
    <w:rsid w:val="4B092066"/>
    <w:rsid w:val="4B441C14"/>
    <w:rsid w:val="4E2A3A23"/>
    <w:rsid w:val="4E582397"/>
    <w:rsid w:val="4E66199E"/>
    <w:rsid w:val="507765E7"/>
    <w:rsid w:val="51253B27"/>
    <w:rsid w:val="54680EAB"/>
    <w:rsid w:val="548B2661"/>
    <w:rsid w:val="54AB6860"/>
    <w:rsid w:val="555F62BF"/>
    <w:rsid w:val="55DA41B2"/>
    <w:rsid w:val="56844A8B"/>
    <w:rsid w:val="597A6DED"/>
    <w:rsid w:val="59B81EC1"/>
    <w:rsid w:val="59CC6E93"/>
    <w:rsid w:val="5A9F6E67"/>
    <w:rsid w:val="5B393970"/>
    <w:rsid w:val="5F0C5972"/>
    <w:rsid w:val="5F323751"/>
    <w:rsid w:val="5F9960A6"/>
    <w:rsid w:val="609121A3"/>
    <w:rsid w:val="618D5C6B"/>
    <w:rsid w:val="61DD625F"/>
    <w:rsid w:val="625209B9"/>
    <w:rsid w:val="64A55079"/>
    <w:rsid w:val="67B14E2B"/>
    <w:rsid w:val="6A835585"/>
    <w:rsid w:val="6E217E67"/>
    <w:rsid w:val="6FCF744E"/>
    <w:rsid w:val="76A84E99"/>
    <w:rsid w:val="77660698"/>
    <w:rsid w:val="79627585"/>
    <w:rsid w:val="7A48123C"/>
    <w:rsid w:val="7A7A76EF"/>
    <w:rsid w:val="7B0F1047"/>
    <w:rsid w:val="7C4371FA"/>
    <w:rsid w:val="7CD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2247</Words>
  <Characters>2317</Characters>
  <Lines>0</Lines>
  <Paragraphs>0</Paragraphs>
  <TotalTime>24</TotalTime>
  <ScaleCrop>false</ScaleCrop>
  <LinksUpToDate>false</LinksUpToDate>
  <CharactersWithSpaces>2323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2024-02-01T00:49:00Z</dcterms:created>
  <dc:creator>童</dc:creator>
  <cp:lastModifiedBy>童</cp:lastModifiedBy>
  <cp:lastPrinted>2024-06-05T12:53:00Z</cp:lastPrinted>
  <dcterms:modified xsi:type="dcterms:W3CDTF">2026-06-02T02:01:34Z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268D54A1EC144D91B5550B9B16967BBA_13</vt:lpwstr>
  </property>
  <property fmtid="{D5CDD505-2E9C-101B-9397-08002B2CF9AE}" pid="4" name="KSOTemplateDocerSaveRecord">
    <vt:lpwstr>eyJoZGlkIjoiYmEyMTFjN2MxNzhhNzhmZWRhZWNlMWVjNmEwYWJkZTUiLCJ1c2VySWQiOiIzMzM4NDk2ODQifQ==</vt:lpwstr>
  </property>
</Properties>
</file>